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CCA" w:rsidRPr="00CF4CCA" w:rsidRDefault="00CF4CCA" w:rsidP="00CF4CCA">
      <w:pPr>
        <w:shd w:val="clear" w:color="auto" w:fill="FFFFFF"/>
        <w:spacing w:after="100" w:afterAutospacing="1" w:line="240" w:lineRule="auto"/>
        <w:outlineLvl w:val="1"/>
        <w:rPr>
          <w:rFonts w:ascii="Arial" w:eastAsia="Times New Roman" w:hAnsi="Arial" w:cs="Arial"/>
          <w:color w:val="083D6B"/>
          <w:sz w:val="36"/>
          <w:szCs w:val="36"/>
          <w:lang w:eastAsia="ru-RU"/>
        </w:rPr>
      </w:pPr>
      <w:r w:rsidRPr="00CF4CCA">
        <w:rPr>
          <w:rFonts w:ascii="Arial" w:eastAsia="Times New Roman" w:hAnsi="Arial" w:cs="Arial"/>
          <w:color w:val="083D6B"/>
          <w:sz w:val="36"/>
          <w:szCs w:val="36"/>
          <w:lang w:eastAsia="ru-RU"/>
        </w:rPr>
        <w:t>Вакцинация: Национальный календарь профилактических прививок</w:t>
      </w:r>
    </w:p>
    <w:p w:rsidR="00CF4CCA" w:rsidRPr="00CF4CCA" w:rsidRDefault="00CF4CCA" w:rsidP="00CF4CCA">
      <w:pPr>
        <w:shd w:val="clear" w:color="auto" w:fill="FFFFFF"/>
        <w:spacing w:before="75" w:after="100" w:afterAutospacing="1" w:line="240" w:lineRule="auto"/>
        <w:jc w:val="both"/>
        <w:rPr>
          <w:rFonts w:ascii="Arial" w:eastAsia="Times New Roman" w:hAnsi="Arial" w:cs="Arial"/>
          <w:color w:val="212529"/>
          <w:sz w:val="24"/>
          <w:szCs w:val="24"/>
          <w:lang w:eastAsia="ru-RU"/>
        </w:rPr>
      </w:pPr>
      <w:bookmarkStart w:id="0" w:name="_GoBack"/>
      <w:bookmarkEnd w:id="0"/>
      <w:r w:rsidRPr="00CF4CCA">
        <w:rPr>
          <w:rFonts w:ascii="Arial" w:eastAsia="Times New Roman" w:hAnsi="Arial" w:cs="Arial"/>
          <w:b/>
          <w:bCs/>
          <w:color w:val="3366FF"/>
          <w:sz w:val="24"/>
          <w:szCs w:val="24"/>
          <w:lang w:eastAsia="ru-RU"/>
        </w:rPr>
        <w:t>Вакцинация - самое эффективное средство борьбы с управляемыми инфекциями, экономически оправданное, позволяющее влиять на основные показатели здравоохранения.</w:t>
      </w:r>
    </w:p>
    <w:p w:rsidR="00CF4CCA" w:rsidRPr="00CF4CCA" w:rsidRDefault="00CF4CCA" w:rsidP="00CF4CCA">
      <w:pPr>
        <w:shd w:val="clear" w:color="auto" w:fill="FFFFFF"/>
        <w:spacing w:before="75"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На сегодняшний день в РФ достигнуты существенные успехи в области контроля управляемых инфекций. За последние годы не было зарегистрировано ни одного случая заболевания полиомиелитом, вызванного диким штаммом вируса. Достигнута низкая заболеваемость «старыми» управляемыми инфекциями (дифтерия, коклюш). Удается контролировать и снижать заболеваемость туберкулезом у детей в возрасте от 0 до 14 лет. Взяты под контроль и другие тяжелые инфекции, обуславливающие высокую заболеваемость и смертность, в первую очередь, в детском возрасте.</w:t>
      </w:r>
    </w:p>
    <w:p w:rsidR="00CF4CCA" w:rsidRPr="00CF4CCA" w:rsidRDefault="00CF4CCA" w:rsidP="00CF4CCA">
      <w:pPr>
        <w:shd w:val="clear" w:color="auto" w:fill="FFFFFF"/>
        <w:spacing w:before="75" w:after="100" w:afterAutospacing="1" w:line="240" w:lineRule="auto"/>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В Российской Федерации действует Национальный календарь профилактических прививок (НКПП), утвержденный приказом Министерства здравоохранения РФ от 21.03.2014г. № 125н «О национальном календаре профилактических прививок и календаре профилактических прививок по эпидемическим показаниям».</w:t>
      </w:r>
    </w:p>
    <w:p w:rsidR="00CF4CCA" w:rsidRPr="00CF4CCA" w:rsidRDefault="00CF4CCA" w:rsidP="00CF4CCA">
      <w:pPr>
        <w:shd w:val="clear" w:color="auto" w:fill="FFFFFF"/>
        <w:spacing w:before="75" w:after="100" w:afterAutospacing="1" w:line="240" w:lineRule="auto"/>
        <w:jc w:val="both"/>
        <w:rPr>
          <w:rFonts w:ascii="Arial" w:eastAsia="Times New Roman" w:hAnsi="Arial" w:cs="Arial"/>
          <w:color w:val="212529"/>
          <w:sz w:val="24"/>
          <w:szCs w:val="24"/>
          <w:lang w:eastAsia="ru-RU"/>
        </w:rPr>
      </w:pPr>
      <w:proofErr w:type="gramStart"/>
      <w:r w:rsidRPr="00CF4CCA">
        <w:rPr>
          <w:rFonts w:ascii="Arial" w:eastAsia="Times New Roman" w:hAnsi="Arial" w:cs="Arial"/>
          <w:color w:val="212529"/>
          <w:sz w:val="24"/>
          <w:szCs w:val="24"/>
          <w:lang w:eastAsia="ru-RU"/>
        </w:rPr>
        <w:t>Проводятся  прививки</w:t>
      </w:r>
      <w:proofErr w:type="gramEnd"/>
      <w:r w:rsidRPr="00CF4CCA">
        <w:rPr>
          <w:rFonts w:ascii="Arial" w:eastAsia="Times New Roman" w:hAnsi="Arial" w:cs="Arial"/>
          <w:color w:val="212529"/>
          <w:sz w:val="24"/>
          <w:szCs w:val="24"/>
          <w:lang w:eastAsia="ru-RU"/>
        </w:rPr>
        <w:t xml:space="preserve"> против 12 инфекций:</w:t>
      </w:r>
    </w:p>
    <w:p w:rsidR="00CF4CCA" w:rsidRPr="00CF4CCA" w:rsidRDefault="00CF4CCA" w:rsidP="00CF4CCA">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гепатит В</w:t>
      </w:r>
    </w:p>
    <w:p w:rsidR="00CF4CCA" w:rsidRPr="00CF4CCA" w:rsidRDefault="00CF4CCA" w:rsidP="00CF4CCA">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туберкулез</w:t>
      </w:r>
    </w:p>
    <w:p w:rsidR="00CF4CCA" w:rsidRPr="00CF4CCA" w:rsidRDefault="00CF4CCA" w:rsidP="00CF4CCA">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дифтерия</w:t>
      </w:r>
    </w:p>
    <w:p w:rsidR="00CF4CCA" w:rsidRPr="00CF4CCA" w:rsidRDefault="00CF4CCA" w:rsidP="00CF4CCA">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столбняк</w:t>
      </w:r>
    </w:p>
    <w:p w:rsidR="00CF4CCA" w:rsidRPr="00CF4CCA" w:rsidRDefault="00CF4CCA" w:rsidP="00CF4CCA">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коклюш</w:t>
      </w:r>
    </w:p>
    <w:p w:rsidR="00CF4CCA" w:rsidRPr="00CF4CCA" w:rsidRDefault="00CF4CCA" w:rsidP="00CF4CCA">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гемофильная инфекция (для группы риска)</w:t>
      </w:r>
    </w:p>
    <w:p w:rsidR="00CF4CCA" w:rsidRPr="00CF4CCA" w:rsidRDefault="00CF4CCA" w:rsidP="00CF4CCA">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корь</w:t>
      </w:r>
    </w:p>
    <w:p w:rsidR="00CF4CCA" w:rsidRPr="00CF4CCA" w:rsidRDefault="00CF4CCA" w:rsidP="00CF4CCA">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краснуха</w:t>
      </w:r>
    </w:p>
    <w:p w:rsidR="00CF4CCA" w:rsidRPr="00CF4CCA" w:rsidRDefault="00CF4CCA" w:rsidP="00CF4CCA">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эпидемический паротит</w:t>
      </w:r>
    </w:p>
    <w:p w:rsidR="00CF4CCA" w:rsidRPr="00CF4CCA" w:rsidRDefault="00CF4CCA" w:rsidP="00CF4CCA">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полиомиелит</w:t>
      </w:r>
    </w:p>
    <w:p w:rsidR="00CF4CCA" w:rsidRPr="00CF4CCA" w:rsidRDefault="00CF4CCA" w:rsidP="00CF4CCA">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грипп</w:t>
      </w:r>
    </w:p>
    <w:p w:rsidR="00CF4CCA" w:rsidRPr="00CF4CCA" w:rsidRDefault="00CF4CCA" w:rsidP="00CF4CCA">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пневмококковая инфекция</w:t>
      </w:r>
    </w:p>
    <w:p w:rsidR="00CF4CCA" w:rsidRPr="00CF4CCA" w:rsidRDefault="00CF4CCA" w:rsidP="00CF4CCA">
      <w:pPr>
        <w:shd w:val="clear" w:color="auto" w:fill="FFFFFF"/>
        <w:spacing w:before="75"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Следует отметить, что НКПП сегодня защищает от меньшего числа инфекций, чем календари экономически развитых стран и календарь, рекомендованный Всемирной организацией здравоохранения (ВОЗ) для всех стран вне зависимости от их экономического развития. Например, до сих пор не включена массовая вакцинация детей первых лет жизни от таких инфекций, как гемофильная типа b (</w:t>
      </w:r>
      <w:proofErr w:type="spellStart"/>
      <w:r w:rsidRPr="00CF4CCA">
        <w:rPr>
          <w:rFonts w:ascii="Arial" w:eastAsia="Times New Roman" w:hAnsi="Arial" w:cs="Arial"/>
          <w:color w:val="212529"/>
          <w:sz w:val="24"/>
          <w:szCs w:val="24"/>
          <w:lang w:eastAsia="ru-RU"/>
        </w:rPr>
        <w:t>Hib</w:t>
      </w:r>
      <w:proofErr w:type="spellEnd"/>
      <w:r w:rsidRPr="00CF4CCA">
        <w:rPr>
          <w:rFonts w:ascii="Arial" w:eastAsia="Times New Roman" w:hAnsi="Arial" w:cs="Arial"/>
          <w:color w:val="212529"/>
          <w:sz w:val="24"/>
          <w:szCs w:val="24"/>
          <w:lang w:eastAsia="ru-RU"/>
        </w:rPr>
        <w:t xml:space="preserve">), менингококковая, </w:t>
      </w:r>
      <w:proofErr w:type="spellStart"/>
      <w:r w:rsidRPr="00CF4CCA">
        <w:rPr>
          <w:rFonts w:ascii="Arial" w:eastAsia="Times New Roman" w:hAnsi="Arial" w:cs="Arial"/>
          <w:color w:val="212529"/>
          <w:sz w:val="24"/>
          <w:szCs w:val="24"/>
          <w:lang w:eastAsia="ru-RU"/>
        </w:rPr>
        <w:t>ротавирусная</w:t>
      </w:r>
      <w:proofErr w:type="spellEnd"/>
      <w:r w:rsidRPr="00CF4CCA">
        <w:rPr>
          <w:rFonts w:ascii="Arial" w:eastAsia="Times New Roman" w:hAnsi="Arial" w:cs="Arial"/>
          <w:color w:val="212529"/>
          <w:sz w:val="24"/>
          <w:szCs w:val="24"/>
          <w:lang w:eastAsia="ru-RU"/>
        </w:rPr>
        <w:t xml:space="preserve">, ветряная оспа, </w:t>
      </w:r>
      <w:proofErr w:type="spellStart"/>
      <w:r w:rsidRPr="00CF4CCA">
        <w:rPr>
          <w:rFonts w:ascii="Arial" w:eastAsia="Times New Roman" w:hAnsi="Arial" w:cs="Arial"/>
          <w:color w:val="212529"/>
          <w:sz w:val="24"/>
          <w:szCs w:val="24"/>
          <w:lang w:eastAsia="ru-RU"/>
        </w:rPr>
        <w:t>гепатитА</w:t>
      </w:r>
      <w:proofErr w:type="spellEnd"/>
      <w:r w:rsidRPr="00CF4CCA">
        <w:rPr>
          <w:rFonts w:ascii="Arial" w:eastAsia="Times New Roman" w:hAnsi="Arial" w:cs="Arial"/>
          <w:color w:val="212529"/>
          <w:sz w:val="24"/>
          <w:szCs w:val="24"/>
          <w:lang w:eastAsia="ru-RU"/>
        </w:rPr>
        <w:t xml:space="preserve">, </w:t>
      </w:r>
      <w:proofErr w:type="spellStart"/>
      <w:r w:rsidRPr="00CF4CCA">
        <w:rPr>
          <w:rFonts w:ascii="Arial" w:eastAsia="Times New Roman" w:hAnsi="Arial" w:cs="Arial"/>
          <w:color w:val="212529"/>
          <w:sz w:val="24"/>
          <w:szCs w:val="24"/>
          <w:lang w:eastAsia="ru-RU"/>
        </w:rPr>
        <w:t>папиломовирусная</w:t>
      </w:r>
      <w:proofErr w:type="spellEnd"/>
      <w:r w:rsidRPr="00CF4CCA">
        <w:rPr>
          <w:rFonts w:ascii="Arial" w:eastAsia="Times New Roman" w:hAnsi="Arial" w:cs="Arial"/>
          <w:color w:val="212529"/>
          <w:sz w:val="24"/>
          <w:szCs w:val="24"/>
          <w:lang w:eastAsia="ru-RU"/>
        </w:rPr>
        <w:t>.</w:t>
      </w:r>
    </w:p>
    <w:p w:rsidR="00CF4CCA" w:rsidRPr="00CF4CCA" w:rsidRDefault="00CF4CCA" w:rsidP="00CF4CCA">
      <w:pPr>
        <w:shd w:val="clear" w:color="auto" w:fill="FFFFFF"/>
        <w:spacing w:before="75"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Вместе с тем, увеличение числа применяемых вакцин приводит к росту количества инъекций. Особое внимание стоит обратить на календарь прививок для детей до года — эта категория малышей наиболее уязвима для различных инфекций.</w:t>
      </w:r>
      <w:r w:rsidRPr="00CF4CCA">
        <w:rPr>
          <w:rFonts w:ascii="Arial" w:eastAsia="Times New Roman" w:hAnsi="Arial" w:cs="Arial"/>
          <w:color w:val="212529"/>
          <w:sz w:val="24"/>
          <w:szCs w:val="24"/>
          <w:lang w:eastAsia="ru-RU"/>
        </w:rPr>
        <w:br/>
        <w:t>Так, </w:t>
      </w:r>
      <w:r w:rsidRPr="00CF4CCA">
        <w:rPr>
          <w:rFonts w:ascii="Arial" w:eastAsia="Times New Roman" w:hAnsi="Arial" w:cs="Arial"/>
          <w:b/>
          <w:bCs/>
          <w:color w:val="3366FF"/>
          <w:sz w:val="24"/>
          <w:szCs w:val="24"/>
          <w:lang w:eastAsia="ru-RU"/>
        </w:rPr>
        <w:t>до 18 месячного возраста ребенок должен получить 20 инъекций, и многие из них вводят одновременно</w:t>
      </w:r>
      <w:r w:rsidRPr="00CF4CCA">
        <w:rPr>
          <w:rFonts w:ascii="Arial" w:eastAsia="Times New Roman" w:hAnsi="Arial" w:cs="Arial"/>
          <w:color w:val="212529"/>
          <w:sz w:val="24"/>
          <w:szCs w:val="24"/>
          <w:lang w:eastAsia="ru-RU"/>
        </w:rPr>
        <w:t>. Включение новых вакцин сделает это число чрезмерным и неизбежно ставит вопрос о переходе на иммунизацию комбинированными вакцинами против 5-ти и более инфекций в одной инъекции.</w:t>
      </w:r>
    </w:p>
    <w:p w:rsidR="00CF4CCA" w:rsidRPr="00CF4CCA" w:rsidRDefault="00CF4CCA" w:rsidP="00CF4CCA">
      <w:pPr>
        <w:shd w:val="clear" w:color="auto" w:fill="FFFFFF"/>
        <w:spacing w:before="75"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lastRenderedPageBreak/>
        <w:t>На фоне имеющегося числа инъекций перспектива включения в Национальный календарь профилактических прививок новых инфекций не только увеличивает и без того высокое количество уколов, но и сильно усложняет саму схему вакцинации, которой становится все труднее придерживаться. Поэтому </w:t>
      </w:r>
      <w:r w:rsidRPr="00CF4CCA">
        <w:rPr>
          <w:rFonts w:ascii="Arial" w:eastAsia="Times New Roman" w:hAnsi="Arial" w:cs="Arial"/>
          <w:b/>
          <w:bCs/>
          <w:color w:val="3366FF"/>
          <w:sz w:val="24"/>
          <w:szCs w:val="24"/>
          <w:lang w:eastAsia="ru-RU"/>
        </w:rPr>
        <w:t>важно не только обеспечивать возможность вакцинопрофилактики от новых инфекций, но и повышать приверженность родителей рекомендованному Национальным календарем прививок графику вакцинации.</w:t>
      </w:r>
    </w:p>
    <w:p w:rsidR="00CF4CCA" w:rsidRPr="00CF4CCA" w:rsidRDefault="00CF4CCA" w:rsidP="00CF4CCA">
      <w:pPr>
        <w:shd w:val="clear" w:color="auto" w:fill="FFFFFF"/>
        <w:spacing w:before="75"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В России в последнее время сформировалось негативное отношение к вакцинации, не только у части населения, но и у ряда врачей разных специальностей, в том числе педиатров. Изменения показателей здоровья детей первого года жизни, по ряду причин, в том числе, за счет выхаживания детей с очень низкой и экстремально низкой массой тела, приводит к неоправданно широким противопоказаниям к вакцинации и, как следствие, к уменьшению охвата детей прививками и снижению уровня коллективного иммунитета.</w:t>
      </w:r>
    </w:p>
    <w:p w:rsidR="00CF4CCA" w:rsidRPr="00CF4CCA" w:rsidRDefault="00CF4CCA" w:rsidP="00CF4CCA">
      <w:pPr>
        <w:shd w:val="clear" w:color="auto" w:fill="FFFFFF"/>
        <w:spacing w:before="75" w:after="100" w:afterAutospacing="1" w:line="240" w:lineRule="auto"/>
        <w:jc w:val="both"/>
        <w:rPr>
          <w:rFonts w:ascii="Arial" w:eastAsia="Times New Roman" w:hAnsi="Arial" w:cs="Arial"/>
          <w:color w:val="212529"/>
          <w:sz w:val="24"/>
          <w:szCs w:val="24"/>
          <w:lang w:eastAsia="ru-RU"/>
        </w:rPr>
      </w:pPr>
      <w:r w:rsidRPr="00CF4CCA">
        <w:rPr>
          <w:rFonts w:ascii="Arial" w:eastAsia="Times New Roman" w:hAnsi="Arial" w:cs="Arial"/>
          <w:color w:val="212529"/>
          <w:sz w:val="24"/>
          <w:szCs w:val="24"/>
          <w:lang w:eastAsia="ru-RU"/>
        </w:rPr>
        <w:t>Иммунизация в рамках национального календаря профилактических прививок проводится медицинскими препаратами, зарегистрированными в соответствии с законодательством Российской Федерации.</w:t>
      </w:r>
    </w:p>
    <w:tbl>
      <w:tblPr>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5"/>
        <w:gridCol w:w="5465"/>
      </w:tblGrid>
      <w:tr w:rsidR="00CF4CCA" w:rsidRPr="00CF4CCA" w:rsidTr="00CF4CCA">
        <w:trPr>
          <w:trHeight w:val="30"/>
        </w:trPr>
        <w:tc>
          <w:tcPr>
            <w:tcW w:w="4260" w:type="dxa"/>
            <w:tcBorders>
              <w:top w:val="single" w:sz="8" w:space="0" w:color="4BACC6"/>
              <w:left w:val="single" w:sz="8" w:space="0" w:color="4BACC6"/>
              <w:bottom w:val="single" w:sz="8" w:space="0" w:color="4BACC6"/>
              <w:right w:val="single" w:sz="8" w:space="0" w:color="4BACC6"/>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b/>
                <w:bCs/>
                <w:lang w:eastAsia="ru-RU"/>
              </w:rPr>
              <w:t>Возраст</w:t>
            </w:r>
          </w:p>
        </w:tc>
        <w:tc>
          <w:tcPr>
            <w:tcW w:w="6915" w:type="dxa"/>
            <w:tcBorders>
              <w:top w:val="single" w:sz="8" w:space="0" w:color="auto"/>
              <w:left w:val="nil"/>
              <w:bottom w:val="single" w:sz="8" w:space="0" w:color="auto"/>
              <w:right w:val="single" w:sz="8" w:space="0" w:color="auto"/>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b/>
                <w:bCs/>
                <w:lang w:eastAsia="ru-RU"/>
              </w:rPr>
              <w:t>Наименование профилактической прививки</w:t>
            </w:r>
          </w:p>
        </w:tc>
      </w:tr>
      <w:tr w:rsidR="00CF4CCA" w:rsidRPr="00CF4CCA" w:rsidTr="00CF4CCA">
        <w:trPr>
          <w:trHeight w:val="496"/>
        </w:trPr>
        <w:tc>
          <w:tcPr>
            <w:tcW w:w="4260"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CF4CCA" w:rsidRPr="00CF4CCA" w:rsidRDefault="00CF4CCA" w:rsidP="00CF4CCA">
            <w:pPr>
              <w:spacing w:before="75" w:after="100" w:afterAutospacing="1" w:line="240" w:lineRule="auto"/>
              <w:rPr>
                <w:rFonts w:ascii="Times New Roman" w:eastAsia="Times New Roman" w:hAnsi="Times New Roman" w:cs="Times New Roman"/>
                <w:sz w:val="24"/>
                <w:szCs w:val="24"/>
                <w:lang w:eastAsia="ru-RU"/>
              </w:rPr>
            </w:pPr>
            <w:r w:rsidRPr="00CF4CCA">
              <w:rPr>
                <w:rFonts w:ascii="Arial" w:eastAsia="Times New Roman" w:hAnsi="Arial" w:cs="Arial"/>
                <w:sz w:val="24"/>
                <w:szCs w:val="24"/>
                <w:lang w:eastAsia="ru-RU"/>
              </w:rPr>
              <w:t>Новорожденные в первые 24 часа жизни</w:t>
            </w:r>
          </w:p>
        </w:tc>
        <w:tc>
          <w:tcPr>
            <w:tcW w:w="6915" w:type="dxa"/>
            <w:tcBorders>
              <w:top w:val="nil"/>
              <w:left w:val="nil"/>
              <w:bottom w:val="single" w:sz="8" w:space="0" w:color="auto"/>
              <w:right w:val="single" w:sz="8" w:space="0" w:color="auto"/>
            </w:tcBorders>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Первая вакцинация против вирусного гепатита B</w:t>
            </w:r>
          </w:p>
        </w:tc>
      </w:tr>
      <w:tr w:rsidR="00CF4CCA" w:rsidRPr="00CF4CCA" w:rsidTr="00CF4CCA">
        <w:trPr>
          <w:trHeight w:val="510"/>
        </w:trPr>
        <w:tc>
          <w:tcPr>
            <w:tcW w:w="4260"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CF4CCA" w:rsidRPr="00CF4CCA" w:rsidRDefault="00CF4CCA" w:rsidP="00CF4CCA">
            <w:pPr>
              <w:spacing w:before="75" w:after="100" w:afterAutospacing="1" w:line="240" w:lineRule="auto"/>
              <w:rPr>
                <w:rFonts w:ascii="Times New Roman" w:eastAsia="Times New Roman" w:hAnsi="Times New Roman" w:cs="Times New Roman"/>
                <w:sz w:val="24"/>
                <w:szCs w:val="24"/>
                <w:lang w:eastAsia="ru-RU"/>
              </w:rPr>
            </w:pPr>
            <w:r w:rsidRPr="00CF4CCA">
              <w:rPr>
                <w:rFonts w:ascii="Arial" w:eastAsia="Times New Roman" w:hAnsi="Arial" w:cs="Arial"/>
                <w:sz w:val="24"/>
                <w:szCs w:val="24"/>
                <w:lang w:eastAsia="ru-RU"/>
              </w:rPr>
              <w:t>Новорожденные на 3 - 7 день жизни</w:t>
            </w:r>
          </w:p>
        </w:tc>
        <w:tc>
          <w:tcPr>
            <w:tcW w:w="6915"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Вакцинация против туберкулеза</w:t>
            </w:r>
          </w:p>
        </w:tc>
      </w:tr>
      <w:tr w:rsidR="00CF4CCA" w:rsidRPr="00CF4CCA" w:rsidTr="00CF4CCA">
        <w:trPr>
          <w:trHeight w:val="559"/>
        </w:trPr>
        <w:tc>
          <w:tcPr>
            <w:tcW w:w="4260"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Times New Roman" w:eastAsia="Times New Roman" w:hAnsi="Times New Roman" w:cs="Times New Roman"/>
                <w:sz w:val="24"/>
                <w:szCs w:val="24"/>
                <w:lang w:eastAsia="ru-RU"/>
              </w:rPr>
              <w:t>Дети 1 месяц</w:t>
            </w:r>
          </w:p>
        </w:tc>
        <w:tc>
          <w:tcPr>
            <w:tcW w:w="6915" w:type="dxa"/>
            <w:tcBorders>
              <w:top w:val="nil"/>
              <w:left w:val="nil"/>
              <w:bottom w:val="single" w:sz="8" w:space="0" w:color="auto"/>
              <w:right w:val="single" w:sz="8" w:space="0" w:color="auto"/>
            </w:tcBorders>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Вторая вакцинация против вирусного гепатита B</w:t>
            </w:r>
          </w:p>
        </w:tc>
      </w:tr>
      <w:tr w:rsidR="00CF4CCA" w:rsidRPr="00CF4CCA" w:rsidTr="00CF4CCA">
        <w:trPr>
          <w:trHeight w:val="243"/>
        </w:trPr>
        <w:tc>
          <w:tcPr>
            <w:tcW w:w="4260" w:type="dxa"/>
            <w:vMerge w:val="restart"/>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CF4CCA" w:rsidRPr="00CF4CCA" w:rsidRDefault="00CF4CCA" w:rsidP="00CF4CCA">
            <w:pPr>
              <w:spacing w:before="75" w:after="100" w:afterAutospacing="1"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Дети 2 месяца</w:t>
            </w:r>
          </w:p>
        </w:tc>
        <w:tc>
          <w:tcPr>
            <w:tcW w:w="6915"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Третья вакцинация против вирусного гепатита B (группы риска)</w:t>
            </w:r>
          </w:p>
        </w:tc>
      </w:tr>
      <w:tr w:rsidR="00CF4CCA" w:rsidRPr="00CF4CCA" w:rsidTr="00CF4CCA">
        <w:trPr>
          <w:trHeight w:val="155"/>
        </w:trPr>
        <w:tc>
          <w:tcPr>
            <w:tcW w:w="0" w:type="auto"/>
            <w:vMerge/>
            <w:tcBorders>
              <w:top w:val="nil"/>
              <w:left w:val="single" w:sz="8" w:space="0" w:color="auto"/>
              <w:bottom w:val="single" w:sz="8" w:space="0" w:color="auto"/>
              <w:right w:val="single" w:sz="8" w:space="0" w:color="4BACC6"/>
            </w:tcBorders>
            <w:vAlign w:val="cente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p>
        </w:tc>
        <w:tc>
          <w:tcPr>
            <w:tcW w:w="6915" w:type="dxa"/>
            <w:tcBorders>
              <w:top w:val="nil"/>
              <w:left w:val="nil"/>
              <w:bottom w:val="single" w:sz="8" w:space="0" w:color="auto"/>
              <w:right w:val="single" w:sz="8" w:space="0" w:color="auto"/>
            </w:tcBorders>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Первая вакцинация против пневмококковой инфекции</w:t>
            </w:r>
          </w:p>
        </w:tc>
      </w:tr>
      <w:tr w:rsidR="00CF4CCA" w:rsidRPr="00CF4CCA" w:rsidTr="00CF4CCA">
        <w:trPr>
          <w:trHeight w:val="265"/>
        </w:trPr>
        <w:tc>
          <w:tcPr>
            <w:tcW w:w="4260" w:type="dxa"/>
            <w:vMerge w:val="restart"/>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CF4CCA" w:rsidRPr="00CF4CCA" w:rsidRDefault="00CF4CCA" w:rsidP="00CF4CCA">
            <w:pPr>
              <w:spacing w:before="75" w:after="100" w:afterAutospacing="1"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Дети 3 месяца</w:t>
            </w:r>
          </w:p>
        </w:tc>
        <w:tc>
          <w:tcPr>
            <w:tcW w:w="6915"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Первая вакцинация против дифтерии, коклюша, столбняка</w:t>
            </w:r>
          </w:p>
        </w:tc>
      </w:tr>
      <w:tr w:rsidR="00CF4CCA" w:rsidRPr="00CF4CCA" w:rsidTr="00CF4CCA">
        <w:trPr>
          <w:trHeight w:val="155"/>
        </w:trPr>
        <w:tc>
          <w:tcPr>
            <w:tcW w:w="0" w:type="auto"/>
            <w:vMerge/>
            <w:tcBorders>
              <w:top w:val="nil"/>
              <w:left w:val="single" w:sz="8" w:space="0" w:color="auto"/>
              <w:bottom w:val="single" w:sz="8" w:space="0" w:color="auto"/>
              <w:right w:val="single" w:sz="8" w:space="0" w:color="4BACC6"/>
            </w:tcBorders>
            <w:vAlign w:val="cente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p>
        </w:tc>
        <w:tc>
          <w:tcPr>
            <w:tcW w:w="6915" w:type="dxa"/>
            <w:tcBorders>
              <w:top w:val="nil"/>
              <w:left w:val="nil"/>
              <w:bottom w:val="single" w:sz="8" w:space="0" w:color="auto"/>
              <w:right w:val="single" w:sz="8" w:space="0" w:color="auto"/>
            </w:tcBorders>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Первая вакцинация против полиомиелита</w:t>
            </w:r>
          </w:p>
        </w:tc>
      </w:tr>
      <w:tr w:rsidR="00CF4CCA" w:rsidRPr="00CF4CCA" w:rsidTr="00CF4CCA">
        <w:trPr>
          <w:trHeight w:val="155"/>
        </w:trPr>
        <w:tc>
          <w:tcPr>
            <w:tcW w:w="0" w:type="auto"/>
            <w:vMerge/>
            <w:tcBorders>
              <w:top w:val="nil"/>
              <w:left w:val="single" w:sz="8" w:space="0" w:color="auto"/>
              <w:bottom w:val="single" w:sz="8" w:space="0" w:color="auto"/>
              <w:right w:val="single" w:sz="8" w:space="0" w:color="4BACC6"/>
            </w:tcBorders>
            <w:vAlign w:val="cente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p>
        </w:tc>
        <w:tc>
          <w:tcPr>
            <w:tcW w:w="6915"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Первая вакцинация против гемофильной инфекции (группы риска)</w:t>
            </w:r>
          </w:p>
        </w:tc>
      </w:tr>
      <w:tr w:rsidR="00CF4CCA" w:rsidRPr="00CF4CCA" w:rsidTr="00CF4CCA">
        <w:trPr>
          <w:trHeight w:val="309"/>
        </w:trPr>
        <w:tc>
          <w:tcPr>
            <w:tcW w:w="4260" w:type="dxa"/>
            <w:vMerge w:val="restart"/>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CF4CCA" w:rsidRPr="00CF4CCA" w:rsidRDefault="00CF4CCA" w:rsidP="00CF4CCA">
            <w:pPr>
              <w:spacing w:before="75" w:after="100" w:afterAutospacing="1"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Дети 4,5 месяцев</w:t>
            </w:r>
          </w:p>
        </w:tc>
        <w:tc>
          <w:tcPr>
            <w:tcW w:w="6915" w:type="dxa"/>
            <w:tcBorders>
              <w:top w:val="nil"/>
              <w:left w:val="nil"/>
              <w:bottom w:val="single" w:sz="8" w:space="0" w:color="auto"/>
              <w:right w:val="single" w:sz="8" w:space="0" w:color="auto"/>
            </w:tcBorders>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Вторая вакцинация против дифтерии, коклюша, столбняка</w:t>
            </w:r>
          </w:p>
        </w:tc>
      </w:tr>
      <w:tr w:rsidR="00CF4CCA" w:rsidRPr="00CF4CCA" w:rsidTr="00CF4CCA">
        <w:trPr>
          <w:trHeight w:val="155"/>
        </w:trPr>
        <w:tc>
          <w:tcPr>
            <w:tcW w:w="0" w:type="auto"/>
            <w:vMerge/>
            <w:tcBorders>
              <w:top w:val="nil"/>
              <w:left w:val="single" w:sz="8" w:space="0" w:color="auto"/>
              <w:bottom w:val="single" w:sz="8" w:space="0" w:color="auto"/>
              <w:right w:val="single" w:sz="8" w:space="0" w:color="4BACC6"/>
            </w:tcBorders>
            <w:vAlign w:val="cente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p>
        </w:tc>
        <w:tc>
          <w:tcPr>
            <w:tcW w:w="6915"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Вторая вакцинация против гемофильной инфекции (группы риска)</w:t>
            </w:r>
          </w:p>
        </w:tc>
      </w:tr>
      <w:tr w:rsidR="00CF4CCA" w:rsidRPr="00CF4CCA" w:rsidTr="00CF4CCA">
        <w:trPr>
          <w:trHeight w:val="155"/>
        </w:trPr>
        <w:tc>
          <w:tcPr>
            <w:tcW w:w="0" w:type="auto"/>
            <w:vMerge/>
            <w:tcBorders>
              <w:top w:val="nil"/>
              <w:left w:val="single" w:sz="8" w:space="0" w:color="auto"/>
              <w:bottom w:val="single" w:sz="8" w:space="0" w:color="auto"/>
              <w:right w:val="single" w:sz="8" w:space="0" w:color="4BACC6"/>
            </w:tcBorders>
            <w:vAlign w:val="cente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p>
        </w:tc>
        <w:tc>
          <w:tcPr>
            <w:tcW w:w="6915" w:type="dxa"/>
            <w:tcBorders>
              <w:top w:val="nil"/>
              <w:left w:val="nil"/>
              <w:bottom w:val="single" w:sz="8" w:space="0" w:color="auto"/>
              <w:right w:val="single" w:sz="8" w:space="0" w:color="auto"/>
            </w:tcBorders>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Вторая вакцинация против полиомиелита</w:t>
            </w:r>
          </w:p>
        </w:tc>
      </w:tr>
      <w:tr w:rsidR="00CF4CCA" w:rsidRPr="00CF4CCA" w:rsidTr="00CF4CCA">
        <w:trPr>
          <w:trHeight w:val="155"/>
        </w:trPr>
        <w:tc>
          <w:tcPr>
            <w:tcW w:w="0" w:type="auto"/>
            <w:vMerge/>
            <w:tcBorders>
              <w:top w:val="nil"/>
              <w:left w:val="single" w:sz="8" w:space="0" w:color="auto"/>
              <w:bottom w:val="single" w:sz="8" w:space="0" w:color="auto"/>
              <w:right w:val="single" w:sz="8" w:space="0" w:color="4BACC6"/>
            </w:tcBorders>
            <w:vAlign w:val="cente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p>
        </w:tc>
        <w:tc>
          <w:tcPr>
            <w:tcW w:w="6915"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Вторая вакцинация против пневмококковой инфекции</w:t>
            </w:r>
          </w:p>
        </w:tc>
      </w:tr>
      <w:tr w:rsidR="00CF4CCA" w:rsidRPr="00CF4CCA" w:rsidTr="00CF4CCA">
        <w:trPr>
          <w:trHeight w:val="328"/>
        </w:trPr>
        <w:tc>
          <w:tcPr>
            <w:tcW w:w="4260" w:type="dxa"/>
            <w:vMerge w:val="restart"/>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CF4CCA" w:rsidRPr="00CF4CCA" w:rsidRDefault="00CF4CCA" w:rsidP="00CF4CCA">
            <w:pPr>
              <w:spacing w:before="75" w:after="100" w:afterAutospacing="1"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Дети 6 месяцев</w:t>
            </w:r>
          </w:p>
        </w:tc>
        <w:tc>
          <w:tcPr>
            <w:tcW w:w="6915" w:type="dxa"/>
            <w:tcBorders>
              <w:top w:val="nil"/>
              <w:left w:val="nil"/>
              <w:bottom w:val="single" w:sz="8" w:space="0" w:color="auto"/>
              <w:right w:val="single" w:sz="8" w:space="0" w:color="auto"/>
            </w:tcBorders>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Третья вакцинация против дифтерии, коклюша, столбняка</w:t>
            </w:r>
          </w:p>
        </w:tc>
      </w:tr>
      <w:tr w:rsidR="00CF4CCA" w:rsidRPr="00CF4CCA" w:rsidTr="00CF4CCA">
        <w:trPr>
          <w:trHeight w:val="155"/>
        </w:trPr>
        <w:tc>
          <w:tcPr>
            <w:tcW w:w="0" w:type="auto"/>
            <w:vMerge/>
            <w:tcBorders>
              <w:top w:val="nil"/>
              <w:left w:val="single" w:sz="8" w:space="0" w:color="auto"/>
              <w:bottom w:val="single" w:sz="8" w:space="0" w:color="auto"/>
              <w:right w:val="single" w:sz="8" w:space="0" w:color="4BACC6"/>
            </w:tcBorders>
            <w:vAlign w:val="cente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p>
        </w:tc>
        <w:tc>
          <w:tcPr>
            <w:tcW w:w="6915"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Третья вакцинация против вирусного гепатита B</w:t>
            </w:r>
          </w:p>
        </w:tc>
      </w:tr>
      <w:tr w:rsidR="00CF4CCA" w:rsidRPr="00CF4CCA" w:rsidTr="00CF4CCA">
        <w:trPr>
          <w:trHeight w:val="155"/>
        </w:trPr>
        <w:tc>
          <w:tcPr>
            <w:tcW w:w="0" w:type="auto"/>
            <w:vMerge/>
            <w:tcBorders>
              <w:top w:val="nil"/>
              <w:left w:val="single" w:sz="8" w:space="0" w:color="auto"/>
              <w:bottom w:val="single" w:sz="8" w:space="0" w:color="auto"/>
              <w:right w:val="single" w:sz="8" w:space="0" w:color="4BACC6"/>
            </w:tcBorders>
            <w:vAlign w:val="cente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p>
        </w:tc>
        <w:tc>
          <w:tcPr>
            <w:tcW w:w="6915" w:type="dxa"/>
            <w:tcBorders>
              <w:top w:val="nil"/>
              <w:left w:val="nil"/>
              <w:bottom w:val="single" w:sz="8" w:space="0" w:color="auto"/>
              <w:right w:val="single" w:sz="8" w:space="0" w:color="auto"/>
            </w:tcBorders>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Третья вакцинация против полиомиелита</w:t>
            </w:r>
          </w:p>
        </w:tc>
      </w:tr>
      <w:tr w:rsidR="00CF4CCA" w:rsidRPr="00CF4CCA" w:rsidTr="00CF4CCA">
        <w:trPr>
          <w:trHeight w:val="155"/>
        </w:trPr>
        <w:tc>
          <w:tcPr>
            <w:tcW w:w="0" w:type="auto"/>
            <w:vMerge/>
            <w:tcBorders>
              <w:top w:val="nil"/>
              <w:left w:val="single" w:sz="8" w:space="0" w:color="auto"/>
              <w:bottom w:val="single" w:sz="8" w:space="0" w:color="auto"/>
              <w:right w:val="single" w:sz="8" w:space="0" w:color="4BACC6"/>
            </w:tcBorders>
            <w:vAlign w:val="cente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p>
        </w:tc>
        <w:tc>
          <w:tcPr>
            <w:tcW w:w="6915"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Третья вакцинация против гемофильной инфекции (группа риска)</w:t>
            </w:r>
          </w:p>
        </w:tc>
      </w:tr>
      <w:tr w:rsidR="00CF4CCA" w:rsidRPr="00CF4CCA" w:rsidTr="00CF4CCA">
        <w:trPr>
          <w:trHeight w:val="193"/>
        </w:trPr>
        <w:tc>
          <w:tcPr>
            <w:tcW w:w="4260" w:type="dxa"/>
            <w:vMerge w:val="restart"/>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CF4CCA" w:rsidRPr="00CF4CCA" w:rsidRDefault="00CF4CCA" w:rsidP="00CF4CCA">
            <w:pPr>
              <w:spacing w:before="75" w:after="100" w:afterAutospacing="1"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Дети12 месяцев</w:t>
            </w:r>
          </w:p>
        </w:tc>
        <w:tc>
          <w:tcPr>
            <w:tcW w:w="6915" w:type="dxa"/>
            <w:tcBorders>
              <w:top w:val="nil"/>
              <w:left w:val="nil"/>
              <w:bottom w:val="single" w:sz="8" w:space="0" w:color="auto"/>
              <w:right w:val="single" w:sz="8" w:space="0" w:color="auto"/>
            </w:tcBorders>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Вакцинация против кори, краснухи, эпидемического паротита</w:t>
            </w:r>
          </w:p>
        </w:tc>
      </w:tr>
      <w:tr w:rsidR="00CF4CCA" w:rsidRPr="00CF4CCA" w:rsidTr="00CF4CCA">
        <w:trPr>
          <w:trHeight w:val="155"/>
        </w:trPr>
        <w:tc>
          <w:tcPr>
            <w:tcW w:w="0" w:type="auto"/>
            <w:vMerge/>
            <w:tcBorders>
              <w:top w:val="nil"/>
              <w:left w:val="single" w:sz="8" w:space="0" w:color="auto"/>
              <w:bottom w:val="single" w:sz="8" w:space="0" w:color="auto"/>
              <w:right w:val="single" w:sz="8" w:space="0" w:color="4BACC6"/>
            </w:tcBorders>
            <w:vAlign w:val="cente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p>
        </w:tc>
        <w:tc>
          <w:tcPr>
            <w:tcW w:w="6915"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Четвертая вакцинация против вирусного гепатита B (группы риска)</w:t>
            </w:r>
          </w:p>
        </w:tc>
      </w:tr>
      <w:tr w:rsidR="00CF4CCA" w:rsidRPr="00CF4CCA" w:rsidTr="00CF4CCA">
        <w:trPr>
          <w:trHeight w:val="559"/>
        </w:trPr>
        <w:tc>
          <w:tcPr>
            <w:tcW w:w="4260"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CF4CCA" w:rsidRPr="00CF4CCA" w:rsidRDefault="00CF4CCA" w:rsidP="00CF4CCA">
            <w:pPr>
              <w:spacing w:before="75" w:after="100" w:afterAutospacing="1"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lastRenderedPageBreak/>
              <w:t>Дети 15 месяцев</w:t>
            </w:r>
          </w:p>
        </w:tc>
        <w:tc>
          <w:tcPr>
            <w:tcW w:w="6915" w:type="dxa"/>
            <w:tcBorders>
              <w:top w:val="nil"/>
              <w:left w:val="nil"/>
              <w:bottom w:val="single" w:sz="8" w:space="0" w:color="auto"/>
              <w:right w:val="single" w:sz="8" w:space="0" w:color="auto"/>
            </w:tcBorders>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Ревакцинация против пневмококковой инфекции</w:t>
            </w:r>
          </w:p>
        </w:tc>
      </w:tr>
      <w:tr w:rsidR="00CF4CCA" w:rsidRPr="00CF4CCA" w:rsidTr="00CF4CCA">
        <w:trPr>
          <w:trHeight w:val="226"/>
        </w:trPr>
        <w:tc>
          <w:tcPr>
            <w:tcW w:w="4260" w:type="dxa"/>
            <w:vMerge w:val="restart"/>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CF4CCA" w:rsidRPr="00CF4CCA" w:rsidRDefault="00CF4CCA" w:rsidP="00CF4CCA">
            <w:pPr>
              <w:spacing w:before="75" w:after="100" w:afterAutospacing="1"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Дети18 месяцев</w:t>
            </w:r>
          </w:p>
        </w:tc>
        <w:tc>
          <w:tcPr>
            <w:tcW w:w="6915"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Первая ревакцинация против полиомиелита</w:t>
            </w:r>
          </w:p>
        </w:tc>
      </w:tr>
      <w:tr w:rsidR="00CF4CCA" w:rsidRPr="00CF4CCA" w:rsidTr="00CF4CCA">
        <w:trPr>
          <w:trHeight w:val="155"/>
        </w:trPr>
        <w:tc>
          <w:tcPr>
            <w:tcW w:w="0" w:type="auto"/>
            <w:vMerge/>
            <w:tcBorders>
              <w:top w:val="nil"/>
              <w:left w:val="single" w:sz="8" w:space="0" w:color="auto"/>
              <w:bottom w:val="single" w:sz="8" w:space="0" w:color="auto"/>
              <w:right w:val="single" w:sz="8" w:space="0" w:color="4BACC6"/>
            </w:tcBorders>
            <w:vAlign w:val="cente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p>
        </w:tc>
        <w:tc>
          <w:tcPr>
            <w:tcW w:w="6915" w:type="dxa"/>
            <w:tcBorders>
              <w:top w:val="nil"/>
              <w:left w:val="nil"/>
              <w:bottom w:val="single" w:sz="8" w:space="0" w:color="auto"/>
              <w:right w:val="single" w:sz="8" w:space="0" w:color="auto"/>
            </w:tcBorders>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Первая ревакцинация против дифтерии, коклюша, столбняка</w:t>
            </w:r>
          </w:p>
        </w:tc>
      </w:tr>
      <w:tr w:rsidR="00CF4CCA" w:rsidRPr="00CF4CCA" w:rsidTr="00CF4CCA">
        <w:trPr>
          <w:trHeight w:val="155"/>
        </w:trPr>
        <w:tc>
          <w:tcPr>
            <w:tcW w:w="0" w:type="auto"/>
            <w:vMerge/>
            <w:tcBorders>
              <w:top w:val="nil"/>
              <w:left w:val="single" w:sz="8" w:space="0" w:color="auto"/>
              <w:bottom w:val="single" w:sz="8" w:space="0" w:color="auto"/>
              <w:right w:val="single" w:sz="8" w:space="0" w:color="4BACC6"/>
            </w:tcBorders>
            <w:vAlign w:val="cente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p>
        </w:tc>
        <w:tc>
          <w:tcPr>
            <w:tcW w:w="6915"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Ревакцинация против гемофильной инфекции (группы риска)</w:t>
            </w:r>
          </w:p>
        </w:tc>
      </w:tr>
      <w:tr w:rsidR="00CF4CCA" w:rsidRPr="00CF4CCA" w:rsidTr="00CF4CCA">
        <w:trPr>
          <w:trHeight w:val="559"/>
        </w:trPr>
        <w:tc>
          <w:tcPr>
            <w:tcW w:w="4260"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CF4CCA" w:rsidRPr="00CF4CCA" w:rsidRDefault="00CF4CCA" w:rsidP="00CF4CCA">
            <w:pPr>
              <w:spacing w:before="75" w:after="100" w:afterAutospacing="1"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Дети 20 месяцев</w:t>
            </w:r>
          </w:p>
        </w:tc>
        <w:tc>
          <w:tcPr>
            <w:tcW w:w="6915" w:type="dxa"/>
            <w:tcBorders>
              <w:top w:val="nil"/>
              <w:left w:val="nil"/>
              <w:bottom w:val="single" w:sz="8" w:space="0" w:color="auto"/>
              <w:right w:val="single" w:sz="8" w:space="0" w:color="auto"/>
            </w:tcBorders>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Вторая ревакцинация против полиомиелита</w:t>
            </w:r>
          </w:p>
        </w:tc>
      </w:tr>
      <w:tr w:rsidR="00CF4CCA" w:rsidRPr="00CF4CCA" w:rsidTr="00CF4CCA">
        <w:trPr>
          <w:trHeight w:val="530"/>
        </w:trPr>
        <w:tc>
          <w:tcPr>
            <w:tcW w:w="4260"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CF4CCA" w:rsidRPr="00CF4CCA" w:rsidRDefault="00CF4CCA" w:rsidP="00CF4CCA">
            <w:pPr>
              <w:spacing w:before="75" w:after="100" w:afterAutospacing="1"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Дети 6 лет</w:t>
            </w:r>
          </w:p>
        </w:tc>
        <w:tc>
          <w:tcPr>
            <w:tcW w:w="6915"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Ревакцинация против кори, краснухи, эпидемического паротита</w:t>
            </w:r>
          </w:p>
        </w:tc>
      </w:tr>
      <w:tr w:rsidR="00CF4CCA" w:rsidRPr="00CF4CCA" w:rsidTr="00CF4CCA">
        <w:trPr>
          <w:trHeight w:val="411"/>
        </w:trPr>
        <w:tc>
          <w:tcPr>
            <w:tcW w:w="4260" w:type="dxa"/>
            <w:vMerge w:val="restart"/>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CF4CCA" w:rsidRPr="00CF4CCA" w:rsidRDefault="00CF4CCA" w:rsidP="00CF4CCA">
            <w:pPr>
              <w:spacing w:before="75" w:after="100" w:afterAutospacing="1"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Дети 6 - 7 лет</w:t>
            </w:r>
          </w:p>
        </w:tc>
        <w:tc>
          <w:tcPr>
            <w:tcW w:w="6915" w:type="dxa"/>
            <w:tcBorders>
              <w:top w:val="nil"/>
              <w:left w:val="nil"/>
              <w:bottom w:val="single" w:sz="8" w:space="0" w:color="auto"/>
              <w:right w:val="single" w:sz="8" w:space="0" w:color="auto"/>
            </w:tcBorders>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Вторая ревакцинация против дифтерии, столбняка</w:t>
            </w:r>
          </w:p>
        </w:tc>
      </w:tr>
      <w:tr w:rsidR="00CF4CCA" w:rsidRPr="00CF4CCA" w:rsidTr="00CF4CCA">
        <w:trPr>
          <w:trHeight w:val="155"/>
        </w:trPr>
        <w:tc>
          <w:tcPr>
            <w:tcW w:w="0" w:type="auto"/>
            <w:vMerge/>
            <w:tcBorders>
              <w:top w:val="nil"/>
              <w:left w:val="single" w:sz="8" w:space="0" w:color="auto"/>
              <w:bottom w:val="single" w:sz="8" w:space="0" w:color="auto"/>
              <w:right w:val="single" w:sz="8" w:space="0" w:color="4BACC6"/>
            </w:tcBorders>
            <w:vAlign w:val="cente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p>
        </w:tc>
        <w:tc>
          <w:tcPr>
            <w:tcW w:w="6915"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Ревакцинация против туберкулеза</w:t>
            </w:r>
          </w:p>
        </w:tc>
      </w:tr>
      <w:tr w:rsidR="00CF4CCA" w:rsidRPr="00CF4CCA" w:rsidTr="00CF4CCA">
        <w:trPr>
          <w:trHeight w:val="407"/>
        </w:trPr>
        <w:tc>
          <w:tcPr>
            <w:tcW w:w="4260" w:type="dxa"/>
            <w:vMerge w:val="restart"/>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CF4CCA" w:rsidRPr="00CF4CCA" w:rsidRDefault="00CF4CCA" w:rsidP="00CF4CCA">
            <w:pPr>
              <w:spacing w:before="75" w:after="100" w:afterAutospacing="1" w:line="240" w:lineRule="auto"/>
              <w:jc w:val="both"/>
              <w:rPr>
                <w:rFonts w:ascii="Times New Roman" w:eastAsia="Times New Roman" w:hAnsi="Times New Roman" w:cs="Times New Roman"/>
                <w:sz w:val="24"/>
                <w:szCs w:val="24"/>
                <w:lang w:eastAsia="ru-RU"/>
              </w:rPr>
            </w:pPr>
            <w:r w:rsidRPr="00CF4CCA">
              <w:rPr>
                <w:rFonts w:ascii="Arial" w:eastAsia="Times New Roman" w:hAnsi="Arial" w:cs="Arial"/>
                <w:lang w:eastAsia="ru-RU"/>
              </w:rPr>
              <w:t>Дети 14 лет</w:t>
            </w:r>
          </w:p>
        </w:tc>
        <w:tc>
          <w:tcPr>
            <w:tcW w:w="6915" w:type="dxa"/>
            <w:tcBorders>
              <w:top w:val="nil"/>
              <w:left w:val="nil"/>
              <w:bottom w:val="single" w:sz="8" w:space="0" w:color="auto"/>
              <w:right w:val="single" w:sz="8" w:space="0" w:color="auto"/>
            </w:tcBorders>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Третья ревакцинация против дифтерии, столбняка</w:t>
            </w:r>
          </w:p>
        </w:tc>
      </w:tr>
      <w:tr w:rsidR="00CF4CCA" w:rsidRPr="00CF4CCA" w:rsidTr="00CF4CCA">
        <w:trPr>
          <w:trHeight w:val="155"/>
        </w:trPr>
        <w:tc>
          <w:tcPr>
            <w:tcW w:w="0" w:type="auto"/>
            <w:vMerge/>
            <w:tcBorders>
              <w:top w:val="nil"/>
              <w:left w:val="single" w:sz="8" w:space="0" w:color="auto"/>
              <w:bottom w:val="single" w:sz="8" w:space="0" w:color="auto"/>
              <w:right w:val="single" w:sz="8" w:space="0" w:color="4BACC6"/>
            </w:tcBorders>
            <w:vAlign w:val="cente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p>
        </w:tc>
        <w:tc>
          <w:tcPr>
            <w:tcW w:w="6915"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Третья ревакцинация против полиомиелита</w:t>
            </w:r>
          </w:p>
        </w:tc>
      </w:tr>
      <w:tr w:rsidR="00CF4CCA" w:rsidRPr="00CF4CCA" w:rsidTr="00CF4CCA">
        <w:trPr>
          <w:trHeight w:val="558"/>
        </w:trPr>
        <w:tc>
          <w:tcPr>
            <w:tcW w:w="4260"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CF4CCA" w:rsidRPr="00CF4CCA" w:rsidRDefault="00CF4CCA" w:rsidP="00CF4CCA">
            <w:pPr>
              <w:spacing w:before="75" w:after="100" w:afterAutospacing="1" w:line="240" w:lineRule="auto"/>
              <w:jc w:val="both"/>
              <w:rPr>
                <w:rFonts w:ascii="Times New Roman" w:eastAsia="Times New Roman" w:hAnsi="Times New Roman" w:cs="Times New Roman"/>
                <w:sz w:val="24"/>
                <w:szCs w:val="24"/>
                <w:lang w:eastAsia="ru-RU"/>
              </w:rPr>
            </w:pPr>
            <w:r w:rsidRPr="00CF4CCA">
              <w:rPr>
                <w:rFonts w:ascii="Arial" w:eastAsia="Times New Roman" w:hAnsi="Arial" w:cs="Arial"/>
                <w:lang w:eastAsia="ru-RU"/>
              </w:rPr>
              <w:t>Взрослые от 18 лет</w:t>
            </w:r>
          </w:p>
        </w:tc>
        <w:tc>
          <w:tcPr>
            <w:tcW w:w="6915" w:type="dxa"/>
            <w:tcBorders>
              <w:top w:val="nil"/>
              <w:left w:val="nil"/>
              <w:bottom w:val="single" w:sz="8" w:space="0" w:color="auto"/>
              <w:right w:val="single" w:sz="8" w:space="0" w:color="auto"/>
            </w:tcBorders>
            <w:tcMar>
              <w:top w:w="0" w:type="dxa"/>
              <w:left w:w="108" w:type="dxa"/>
              <w:bottom w:w="0" w:type="dxa"/>
              <w:right w:w="108" w:type="dxa"/>
            </w:tcMar>
            <w:hideMark/>
          </w:tcPr>
          <w:p w:rsidR="00CF4CCA" w:rsidRPr="00CF4CCA" w:rsidRDefault="00CF4CCA" w:rsidP="00CF4CCA">
            <w:pPr>
              <w:spacing w:after="0" w:line="240" w:lineRule="auto"/>
              <w:rPr>
                <w:rFonts w:ascii="Times New Roman" w:eastAsia="Times New Roman" w:hAnsi="Times New Roman" w:cs="Times New Roman"/>
                <w:sz w:val="24"/>
                <w:szCs w:val="24"/>
                <w:lang w:eastAsia="ru-RU"/>
              </w:rPr>
            </w:pPr>
            <w:r w:rsidRPr="00CF4CCA">
              <w:rPr>
                <w:rFonts w:ascii="Arial" w:eastAsia="Times New Roman" w:hAnsi="Arial" w:cs="Arial"/>
                <w:lang w:eastAsia="ru-RU"/>
              </w:rPr>
              <w:t>Ревакцинация против дифтерии, столбняка - каждые 10 лет от момента последней ревакцинации</w:t>
            </w:r>
          </w:p>
        </w:tc>
      </w:tr>
    </w:tbl>
    <w:p w:rsidR="0063148E" w:rsidRDefault="0063148E"/>
    <w:sectPr w:rsidR="00631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53D06"/>
    <w:multiLevelType w:val="multilevel"/>
    <w:tmpl w:val="B434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CA"/>
    <w:rsid w:val="0063148E"/>
    <w:rsid w:val="00CF4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F14C3-8125-4ADA-8260-D52813EF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09450">
      <w:bodyDiv w:val="1"/>
      <w:marLeft w:val="0"/>
      <w:marRight w:val="0"/>
      <w:marTop w:val="0"/>
      <w:marBottom w:val="0"/>
      <w:divBdr>
        <w:top w:val="none" w:sz="0" w:space="0" w:color="auto"/>
        <w:left w:val="none" w:sz="0" w:space="0" w:color="auto"/>
        <w:bottom w:val="none" w:sz="0" w:space="0" w:color="auto"/>
        <w:right w:val="none" w:sz="0" w:space="0" w:color="auto"/>
      </w:divBdr>
      <w:divsChild>
        <w:div w:id="210491419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2023-05-11T11:35:00Z</dcterms:created>
  <dcterms:modified xsi:type="dcterms:W3CDTF">2023-05-11T11:36:00Z</dcterms:modified>
</cp:coreProperties>
</file>